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575150"/>
          <w:spacing w:val="0"/>
          <w:position w:val="0"/>
          <w:sz w:val="21"/>
          <w:shd w:fill="auto" w:val="clear"/>
        </w:rPr>
        <w:t xml:space="preserve">Инструкция по использованию услуги </w:t>
      </w: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b/>
          <w:color w:val="57515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Общество с ограниченной ответственностью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Сити-Телеком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(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краткое наименование организации - ООО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Сити-Телеком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»),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ИНН 5045031713, именуемое в дальнейшем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»,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лице директора по общим и коммерческим вопросам Пилипенко И.Н., действующего на основании Доверенности № 001/2015 от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«10»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июня 2015г., предлагает Абонентам – физическим лицам, заключившим договор на предоставление телематических услуг связи и услуг связи по передаче данных.(далее – Договор) с Оператором, воспользоваться дополнительной услугой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(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далее по тексту -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Услуга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»),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присоединившись к настоящим правилам (далее – Правила).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Правила предоставления услуги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соответствии со статьей 435 Гражданского кодекса РФ являются офертой, адресованной Пользователям (далее по тексту –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Оферта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»).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соглашается с настоящими Правилами путем совершения конклюдентных действий по подключению услуги.</w:t>
      </w:r>
    </w:p>
    <w:p>
      <w:pPr>
        <w:spacing w:before="150" w:after="120" w:line="240"/>
        <w:ind w:right="0" w:left="0" w:firstLine="0"/>
        <w:jc w:val="left"/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Термины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и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определения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АПС – автоматическое пополнение баланса Лицевого счета Банковской картой (автоматическое пополнение Лицевого счета)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Банк – кредитная организация, осуществляющая эмиссию Банковских карт на территории Российской Федерации в соответствии с законодательством Российской Федерации, и на основании договоров с Клиентами Банка.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Банковская карта — расчетная или кредитная карта, эмитентом которой является кредитная организация, являющаяся инструментом безналичных расчетов, предназначенная для совершения Клиентами Банка операций с денежными средствами, находящимися у Банка на Банковских счетах Клиентов Банка, или с денежными средствами, предоставленными Банком в кредит Клиентам Банка в соответствии с 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Клиентом Банка, при условии, что такая расчетная или кредитная карта может быть использована для пополнения Лицевого счета по Договору.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3D-Secure - защищенный протокол авторизации пользователей. Добавляет дополнительный шаг авторизации пользователя при оплате услуги. Происходит переадресация на страницу банка - эмитента карты, на которой предлагается ввести дополнительный защитный код, который клиент банка может получить: посредством СМС-сообщения на свой мобильный телефон или другим способом. Вся передаваемая информация от покупателя сохраняется на платежном сервере банка-эмитента. 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Биллинговая система — автоматизированная система Предприятия для учета операций по Лицевому счету Пользователя.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Клиент Банка – физическое лицо, заключившее с Банком договор банковского счета, и являющееся держателем Банковской карты.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Лицевой счет — электронный счет Абонента в биллинговой системе Оператора, на котором фиксируются зачисления и списания денежных средств. Лицевой счет имеет уникальный номер.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— пользователь услугами связи по передачи данных - физическое лицо, заключившее с Оператором Договор. В рамках настоящих Правил термин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так же применим к лицам, пользующимся Услугой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Система – совокупность аппаратного и программного обеспечения Оператора, предназначенная для оказания Услуги.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Услуга - услуга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CVV2 (CVC2) –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код проверки подлинности Банковской карты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Expiry –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срок действия Банковской карты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PAN –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номер Банковской карты</w:t>
      </w:r>
    </w:p>
    <w:p>
      <w:pPr>
        <w:spacing w:before="150" w:after="120" w:line="24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WEB-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интерфейс услуги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размещен в личном кабинете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http://billing.city-t.ru/</w:t>
        </w:r>
      </w:hyperlink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и на внешнем сайте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http://city-t.ru/</w:t>
        </w:r>
      </w:hyperlink>
    </w:p>
    <w:p>
      <w:pPr>
        <w:spacing w:before="150" w:after="120" w:line="240"/>
        <w:ind w:right="0" w:left="0" w:firstLine="0"/>
        <w:jc w:val="left"/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Описание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Пополнение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лицевого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счета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банковской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картой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Услуга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банковской картой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позволяет Абоненту пополнить Лицевой счет, используя платежную Банковскую карту, сведения о которой Абонент сообщает Банку при использовании Услуги в Системе, а также разрешает Банку использовать указанные сведения для оказания Услуги.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Особенности подключения Услуги с использованием расчетных или кредитных карт, а также дополнительные требования определяются Банком–эмитентом карты. Банк и Оператор предоставляет Абоненту возможность пополнения Лицевого счета с использованием Банковской карты при условии, что такая расчетная или кредитная карта может быть использована для оплаты Услуги.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Пополнение Лицевого счета Абонента может осуществляться в соответствии с п. 2.3 настоящих Правил: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2.1.2.1.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акцептным способом;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2.1.2.2.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безакцептным способом (автоматически).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2.1.3.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Все расчеты по Банковской карте, предусмотренные настоящими Правилами, производятся в рублях Российской Федерации.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Оплата Услуги: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2.2.1.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Комиссия за оплату Услуги не взимается.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2.3.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Использование Услуги: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2.3.1.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Акцептное пополнение счета через Web-интерфейс без подключения Услуги автопополнения: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a.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в WEB-интерфейсе Услуги указывает сумму однократного пополнения счета.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b.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не устанавливает галочку в окошке рядом с надписью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Подключить автоплатеж с периодом в 30 календарных дней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с. Абонент знакомится с Правилами, и соглашается с ними после нажатия кнопки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Оплатить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d.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вводит реквизиты Банковской карты и проводит операцию вплоть до сообщения о ее успешном или неуспешном завершении.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случае если к Банковской карте подключена услуга 3-D Secure, то Абонент может быть перенаправлен на страницу Банка. Дальнейшие действия по подтверждению платежа определяются Банком.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e.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Фактом подтверждения успешного оказания Услуги является электронный чек, с техническими данными платежа, отправленный на указанный Вами E-mail адрес на “Странице оплаты банковской картой” и получении sms-подтверждения о зачислении денежных средств на лицевой счет Абонента.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2.3.2.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Безакцептное (автоматическое) пополнение счета: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a.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в WEB-интерфейсе Услуги указывает сумму многократного пополнения  счета (автоплатежа).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b.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Для подключения услуги автоматического пополнения счета (АПС) необходимо установить галочку в окошке рядом с надписью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Подключить автоплатеж с периодом в 30 календарных дней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с. Абонент знакомится с Правилами, и соглашается с ними после нажатия кнопки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Оплатить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d.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вводит реквизиты Банковской карты и проводит операцию вплоть до сообщения о ее успешном или неуспешном завершении.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случае если к Банковской карте подключена услуга 3-D Secure, то Абонент может быть перенаправлен на страницу Банка. Дальнейшие действия по подтверждению платежа определяются Банком.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e.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Фактом подтверждения успешного оказания Услуги является электронный чек, с техническими данными платежа, отправленный на указанный Вами E-mail адрес на странице "Оплата банковской картой” и получении sms-подтверждения о зачислении денежных средств на лицевой счет Абонента.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f.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Отключение услуги автоматического пополнения счета (АПС) осуществляется переходом на страницу отмены, по ссылке указанной в письме, оптравляемое на указанный Вами E-mail адрес после оплаты. Напоминание об автоматическом списании денежных средств с банковской карты, осуществляется за 2 дня до следующего автоплатежа, где так же можно отключить Услугу.</w:t>
      </w:r>
    </w:p>
    <w:p>
      <w:pPr>
        <w:spacing w:before="150" w:after="120" w:line="240"/>
        <w:ind w:right="0" w:left="0" w:firstLine="0"/>
        <w:jc w:val="left"/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и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обязанности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сторон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обязуется предоставить Абоненту возможность пользования Системой.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обязуется обеспечить круглосуточную работу Системы с технологическими перерывами на срок не более 12 часов.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3.3.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дает свое согласие на списание средств с его Банковской карты для пополнения Лицевого счета посредством использования Системы, и обязуется признать свои действия по использованию Системы идентичными платежам, заверенным его подписью.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3.4.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дает свое согласие на обработку сведений, вносимых им в Систему, Оператором самостоятельно и/или с помощью привлеченных Оператором третьих лиц (Банком) с соблюдением действующего законодательства Российской Федерации.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3.5.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Абонент обязуется соблюдать настоящие Правила.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6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имеет право вносить изменения в настоящие Правила. Оператор заблаговременно информирует Пользователей (не менее, чем за 10 календарных дней), о вступлении в действие изменений в Правила, путем размещения соответствующего сообщения на WEB-интерфейсе услуги, либо иным доступным для Оператором способом.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3.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7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не несет ответственности за временную неработоспособность Системы по не зависящим от Оператором причинам, а также обстоятельствам непреодолимой силы. В этом случае, Абонент использует иные способы внесения средств для оплаты Услуги, с которыми можно ознакомиться на сайте Оператора.</w:t>
      </w:r>
    </w:p>
    <w:p>
      <w:pPr>
        <w:spacing w:before="150" w:after="120" w:line="240"/>
        <w:ind w:right="0" w:left="0" w:firstLine="0"/>
        <w:jc w:val="left"/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сторон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Ответственность Оператора перед Абонентом по настоящим Правилам ограничивается суммой денежных средств, зачисленных с использованием Системы на Лицевой счет Абонента.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не несет ответственности за обеспечение конфиденциальности информации и данных об Абоненте, вносимых им в Систему, поскольку передача указанных сведений осуществляется Абонентом с помощью открытых каналов связи.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4.3.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Споры сторон, возникшие в связи с выполнением условий настоящих Правил, разрешаются в ходе взаимных консультаций и переговоров.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4.4.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случае недостижения сторонами взаимного согласия, споры между ними разрешаются в соответствии с действующим законодательством РФ с претензионным порядком рассмотрения споров.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4.5.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Стороны договорились, что досудебное разбирательство (претензионный порядок рассмотрения споров) будет являться обязательным элементом урегулирования споров между Сторонами настоящих Правил. Срок предъявления претензий регулируется действующим законодательством РФ. Срок рассмотрения и ответа на претензию составляет 10 (десять) рабочих дней со дня её получения.</w:t>
      </w:r>
    </w:p>
    <w:p>
      <w:pPr>
        <w:spacing w:before="150" w:after="120" w:line="24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4.6.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В соответствии со статьей 6 Федерального закона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«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»,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Оператор в период действия настоящих Правил, и до достижения цели обработки персональных данных (до момента отказа Абонента от Услуги), производит обработку данных Абонента.</w:t>
      </w:r>
    </w:p>
    <w:p>
      <w:pPr>
        <w:spacing w:before="150" w:after="120" w:line="240"/>
        <w:ind w:right="0" w:left="0" w:firstLine="0"/>
        <w:jc w:val="left"/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Прочие</w:t>
      </w:r>
      <w:r>
        <w:rPr>
          <w:rFonts w:ascii="inherit" w:hAnsi="inherit" w:cs="inherit" w:eastAsia="inherit"/>
          <w:color w:val="FF4A0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4A0F"/>
          <w:spacing w:val="0"/>
          <w:position w:val="0"/>
          <w:sz w:val="24"/>
          <w:shd w:fill="auto" w:val="clear"/>
        </w:rPr>
        <w:t xml:space="preserve">условия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5.1.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Права и обязанности, вытекающие из настоящих Правил, не могут быть переданы третьим лицам без письменного согласия другой стороны.</w:t>
      </w:r>
    </w:p>
    <w:p>
      <w:pPr>
        <w:spacing w:before="0" w:after="150" w:line="300"/>
        <w:ind w:right="0" w:left="0" w:firstLine="0"/>
        <w:jc w:val="left"/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5.2. </w:t>
      </w:r>
      <w:r>
        <w:rPr>
          <w:rFonts w:ascii="Arial" w:hAnsi="Arial" w:cs="Arial" w:eastAsia="Arial"/>
          <w:color w:val="575150"/>
          <w:spacing w:val="0"/>
          <w:position w:val="0"/>
          <w:sz w:val="21"/>
          <w:shd w:fill="auto" w:val="clear"/>
        </w:rPr>
        <w:t xml:space="preserve">Совершая действия по использованию Системы, Абонент подтверждает в соответствии с п.3 ст.438 ГК РФ свое согласие с настоящими Правилами, а также с условиями списаний с Банковской карты Абонента денежных средств в счет оплаты предоставленных Оператором Услуг. Абонент признает действия Системы по списанию денежных средств с Банковской карты для пополнения его Лицевого счета как действия, выполненные с его согласия.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illing.city-t.ru/" Id="docRId0" Type="http://schemas.openxmlformats.org/officeDocument/2006/relationships/hyperlink"/><Relationship TargetMode="External" Target="http://city-t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